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50" w:rsidRPr="00332350" w:rsidRDefault="00332350" w:rsidP="00332350">
      <w:pPr>
        <w:shd w:val="clear" w:color="auto" w:fill="FFFFFF"/>
        <w:spacing w:before="300" w:after="150" w:line="312" w:lineRule="atLeast"/>
        <w:jc w:val="both"/>
        <w:outlineLvl w:val="1"/>
        <w:rPr>
          <w:rFonts w:ascii="Arial" w:eastAsia="Times New Roman" w:hAnsi="Arial" w:cs="Arial"/>
          <w:b/>
          <w:bCs/>
          <w:color w:val="5D5D5D"/>
          <w:sz w:val="45"/>
          <w:szCs w:val="45"/>
          <w:lang w:eastAsia="pl-PL"/>
        </w:rPr>
      </w:pPr>
      <w:r w:rsidRPr="00332350">
        <w:rPr>
          <w:rFonts w:ascii="Arial" w:eastAsia="Times New Roman" w:hAnsi="Arial" w:cs="Arial"/>
          <w:b/>
          <w:bCs/>
          <w:color w:val="5D5D5D"/>
          <w:sz w:val="45"/>
          <w:szCs w:val="45"/>
          <w:lang w:eastAsia="pl-PL"/>
        </w:rPr>
        <w:t>Czynni</w:t>
      </w:r>
      <w:r>
        <w:rPr>
          <w:rFonts w:ascii="Arial" w:eastAsia="Times New Roman" w:hAnsi="Arial" w:cs="Arial"/>
          <w:b/>
          <w:bCs/>
          <w:color w:val="5D5D5D"/>
          <w:sz w:val="45"/>
          <w:szCs w:val="45"/>
          <w:lang w:eastAsia="pl-PL"/>
        </w:rPr>
        <w:t xml:space="preserve">ki chroniące przed </w:t>
      </w:r>
      <w:proofErr w:type="spellStart"/>
      <w:r>
        <w:rPr>
          <w:rFonts w:ascii="Arial" w:eastAsia="Times New Roman" w:hAnsi="Arial" w:cs="Arial"/>
          <w:b/>
          <w:bCs/>
          <w:color w:val="5D5D5D"/>
          <w:sz w:val="45"/>
          <w:szCs w:val="45"/>
          <w:lang w:eastAsia="pl-PL"/>
        </w:rPr>
        <w:t>zachowaniami</w:t>
      </w:r>
      <w:proofErr w:type="spellEnd"/>
      <w:r>
        <w:rPr>
          <w:rFonts w:ascii="Arial" w:eastAsia="Times New Roman" w:hAnsi="Arial" w:cs="Arial"/>
          <w:b/>
          <w:bCs/>
          <w:color w:val="5D5D5D"/>
          <w:sz w:val="45"/>
          <w:szCs w:val="45"/>
          <w:lang w:eastAsia="pl-PL"/>
        </w:rPr>
        <w:t xml:space="preserve"> ryzykownymi</w:t>
      </w:r>
      <w:bookmarkStart w:id="0" w:name="_GoBack"/>
      <w:bookmarkEnd w:id="0"/>
    </w:p>
    <w:p w:rsidR="00332350" w:rsidRPr="00332350" w:rsidRDefault="00332350" w:rsidP="00332350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Do czynników chroniących badacze zaliczają kilka określonych elementów mieszczących się w zakresie predyspozycji </w:t>
      </w:r>
      <w:proofErr w:type="spellStart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intrapsychicznych</w:t>
      </w:r>
      <w:proofErr w:type="spellEnd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i interpersonalnych, które wymieniono poniżej.</w:t>
      </w:r>
    </w:p>
    <w:p w:rsidR="00332350" w:rsidRPr="00332350" w:rsidRDefault="00332350" w:rsidP="00332350">
      <w:pPr>
        <w:numPr>
          <w:ilvl w:val="0"/>
          <w:numId w:val="1"/>
        </w:numPr>
        <w:shd w:val="clear" w:color="auto" w:fill="FFFFFF"/>
        <w:spacing w:after="0" w:line="312" w:lineRule="atLeast"/>
        <w:ind w:left="300"/>
        <w:jc w:val="both"/>
        <w:outlineLvl w:val="2"/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</w:pPr>
      <w:r w:rsidRPr="00332350"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  <w:t>Rozwój samoświadomości</w:t>
      </w:r>
    </w:p>
    <w:p w:rsidR="00332350" w:rsidRPr="00332350" w:rsidRDefault="00332350" w:rsidP="00332350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definiowany jako kompetencja polegająca na dążeniu do realistycznego oceniania swoich możliwości i akceptowaniu własnych ograniczeń oraz umiejętności motywowania się do samodoskonalenia.</w:t>
      </w: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br/>
        <w:t xml:space="preserve">Nawiązywanie relacji z innymi – wyrażające się w realizacji społecznie akceptowanych </w:t>
      </w:r>
      <w:proofErr w:type="spellStart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zachowań</w:t>
      </w:r>
      <w:proofErr w:type="spellEnd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, w ramach których dochodzi do inicjacji i podtrzymywania pozytywnych związków z innymi.</w:t>
      </w:r>
    </w:p>
    <w:p w:rsidR="00332350" w:rsidRPr="00332350" w:rsidRDefault="00332350" w:rsidP="00332350">
      <w:pPr>
        <w:numPr>
          <w:ilvl w:val="0"/>
          <w:numId w:val="2"/>
        </w:numPr>
        <w:shd w:val="clear" w:color="auto" w:fill="FFFFFF"/>
        <w:spacing w:after="0" w:line="312" w:lineRule="atLeast"/>
        <w:ind w:left="300"/>
        <w:jc w:val="both"/>
        <w:outlineLvl w:val="2"/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</w:pPr>
      <w:r w:rsidRPr="00332350"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  <w:t>Społeczna świadomość</w:t>
      </w:r>
    </w:p>
    <w:p w:rsidR="00332350" w:rsidRPr="00332350" w:rsidRDefault="00332350" w:rsidP="00332350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określana jako umiejętność budowania relacji z innymi, poprzez okazywanie szacunku dla </w:t>
      </w:r>
      <w:proofErr w:type="spellStart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zachowań</w:t>
      </w:r>
      <w:proofErr w:type="spellEnd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innych, rozpoznawanie wpływu innych na własne zachowanie oraz uwzględnianie wpływu własnych działań na zachowanie innych osób, z uwzględnieniem tolerancji i poszanowania odmienności.</w:t>
      </w:r>
    </w:p>
    <w:p w:rsidR="00332350" w:rsidRPr="00332350" w:rsidRDefault="00332350" w:rsidP="00332350">
      <w:pPr>
        <w:numPr>
          <w:ilvl w:val="0"/>
          <w:numId w:val="3"/>
        </w:numPr>
        <w:shd w:val="clear" w:color="auto" w:fill="FFFFFF"/>
        <w:spacing w:after="0" w:line="312" w:lineRule="atLeast"/>
        <w:ind w:left="300"/>
        <w:jc w:val="both"/>
        <w:outlineLvl w:val="2"/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</w:pPr>
      <w:r w:rsidRPr="00332350"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  <w:t>Samozarządzanie</w:t>
      </w:r>
    </w:p>
    <w:p w:rsidR="00332350" w:rsidRPr="00332350" w:rsidRDefault="00332350" w:rsidP="00332350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polegające na </w:t>
      </w:r>
      <w:proofErr w:type="spellStart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na</w:t>
      </w:r>
      <w:proofErr w:type="spellEnd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rozpoznawaniu, kontrolowaniu własnych emocji i </w:t>
      </w:r>
      <w:proofErr w:type="spellStart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zachowań</w:t>
      </w:r>
      <w:proofErr w:type="spellEnd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oraz na </w:t>
      </w:r>
      <w:proofErr w:type="spellStart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samomotywowaniu</w:t>
      </w:r>
      <w:proofErr w:type="spellEnd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do podejmowania i realizowania wyznaczanych celów, mimo pojawiających się trudności.</w:t>
      </w:r>
    </w:p>
    <w:p w:rsidR="00332350" w:rsidRPr="00332350" w:rsidRDefault="00332350" w:rsidP="00332350">
      <w:pPr>
        <w:numPr>
          <w:ilvl w:val="0"/>
          <w:numId w:val="4"/>
        </w:numPr>
        <w:shd w:val="clear" w:color="auto" w:fill="FFFFFF"/>
        <w:spacing w:after="0" w:line="312" w:lineRule="atLeast"/>
        <w:ind w:left="300"/>
        <w:jc w:val="both"/>
        <w:outlineLvl w:val="2"/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</w:pPr>
      <w:r w:rsidRPr="00332350"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  <w:t>Osobista odpowiedzialność</w:t>
      </w:r>
    </w:p>
    <w:p w:rsidR="00332350" w:rsidRPr="00332350" w:rsidRDefault="00332350" w:rsidP="00332350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rozumiana, jako tendencja do rzetelnego postrzegania własnego zachowania i adekwatnego reagowania na własne słabości w zakresie indywidualnych aktywności, współpracy partnerskiej i grupowej.</w:t>
      </w:r>
    </w:p>
    <w:p w:rsidR="00332350" w:rsidRPr="00332350" w:rsidRDefault="00332350" w:rsidP="00332350">
      <w:pPr>
        <w:numPr>
          <w:ilvl w:val="0"/>
          <w:numId w:val="5"/>
        </w:numPr>
        <w:shd w:val="clear" w:color="auto" w:fill="FFFFFF"/>
        <w:spacing w:after="0" w:line="312" w:lineRule="atLeast"/>
        <w:ind w:left="300"/>
        <w:jc w:val="both"/>
        <w:outlineLvl w:val="2"/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</w:pPr>
      <w:r w:rsidRPr="00332350"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  <w:t>Podejmowanie decyzji</w:t>
      </w:r>
    </w:p>
    <w:p w:rsidR="00332350" w:rsidRPr="00332350" w:rsidRDefault="00332350" w:rsidP="00332350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jako podejście do rozwiązywania problemów życiowych (rodzinnych, zawodowych, społecznych i innych) zakładające uczenie się od innych i wyciąganie wniosków z własnych działań oraz przejmowanie odpowiedzialności za własne sukcesy i porażki.</w:t>
      </w:r>
    </w:p>
    <w:p w:rsidR="00332350" w:rsidRPr="00332350" w:rsidRDefault="00332350" w:rsidP="00332350">
      <w:pPr>
        <w:numPr>
          <w:ilvl w:val="0"/>
          <w:numId w:val="6"/>
        </w:numPr>
        <w:shd w:val="clear" w:color="auto" w:fill="FFFFFF"/>
        <w:spacing w:after="0" w:line="312" w:lineRule="atLeast"/>
        <w:ind w:left="300"/>
        <w:jc w:val="both"/>
        <w:outlineLvl w:val="2"/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</w:pPr>
      <w:r w:rsidRPr="00332350"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  <w:t>Optymistyczne myślenie</w:t>
      </w:r>
    </w:p>
    <w:p w:rsidR="00332350" w:rsidRPr="00332350" w:rsidRDefault="00332350" w:rsidP="00332350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będące postawą względem siebie i innych opartą na zaufaniu i nadziei oraz tendencją do obiektywnego i pozytywnego postrzegania siebie, swojej życiowej sytuacji w przeszłości, teraźniejszości i przyszłości.</w:t>
      </w:r>
    </w:p>
    <w:p w:rsidR="00332350" w:rsidRPr="00332350" w:rsidRDefault="00332350" w:rsidP="00332350">
      <w:pPr>
        <w:numPr>
          <w:ilvl w:val="0"/>
          <w:numId w:val="7"/>
        </w:numPr>
        <w:shd w:val="clear" w:color="auto" w:fill="FFFFFF"/>
        <w:spacing w:after="0" w:line="312" w:lineRule="atLeast"/>
        <w:ind w:left="300"/>
        <w:jc w:val="both"/>
        <w:outlineLvl w:val="2"/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</w:pPr>
      <w:r w:rsidRPr="00332350">
        <w:rPr>
          <w:rFonts w:ascii="inherit" w:eastAsia="Times New Roman" w:hAnsi="inherit" w:cs="Arial"/>
          <w:b/>
          <w:bCs/>
          <w:color w:val="5D5D5D"/>
          <w:sz w:val="21"/>
          <w:szCs w:val="21"/>
          <w:lang w:eastAsia="pl-PL"/>
        </w:rPr>
        <w:lastRenderedPageBreak/>
        <w:t>Inne czynniki chroniące przed uzależnieniem</w:t>
      </w:r>
    </w:p>
    <w:p w:rsidR="00332350" w:rsidRPr="00332350" w:rsidRDefault="00332350" w:rsidP="00332350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Inni badacze w kontekście czynników chroniących przed uzależnieniem zwracają ponadto uwagę na takie elementy jak:</w:t>
      </w:r>
    </w:p>
    <w:p w:rsidR="00332350" w:rsidRPr="00332350" w:rsidRDefault="00332350" w:rsidP="00332350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wgląd w siebie (w emocje, motywacje i myśli),</w:t>
      </w:r>
    </w:p>
    <w:p w:rsidR="00332350" w:rsidRPr="00332350" w:rsidRDefault="00332350" w:rsidP="00332350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samodzielność i umiejętność poszukiwania pomocy oraz wsparcia,</w:t>
      </w:r>
    </w:p>
    <w:p w:rsidR="00332350" w:rsidRPr="00332350" w:rsidRDefault="00332350" w:rsidP="00332350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dobre relacje z bliskimi osobami (przynajmniej jedna bliska i zaufana relacja, na której można polegać),</w:t>
      </w:r>
    </w:p>
    <w:p w:rsidR="00332350" w:rsidRPr="00332350" w:rsidRDefault="00332350" w:rsidP="00332350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kreatywność w życiu osobistym i zawodowym,</w:t>
      </w:r>
    </w:p>
    <w:p w:rsidR="00332350" w:rsidRPr="00332350" w:rsidRDefault="00332350" w:rsidP="00332350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umiejętność patrzenia z dystansem na problemy oraz zachowania poczucia humoru,</w:t>
      </w:r>
    </w:p>
    <w:p w:rsidR="00332350" w:rsidRPr="00332350" w:rsidRDefault="00332350" w:rsidP="00332350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przejmowanie inicjatywy zgodnej z własnymi potrzebami,</w:t>
      </w:r>
    </w:p>
    <w:p w:rsidR="00332350" w:rsidRPr="00332350" w:rsidRDefault="00332350" w:rsidP="00332350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ukształtowana moralność i system wartości,</w:t>
      </w:r>
    </w:p>
    <w:p w:rsidR="00332350" w:rsidRPr="00332350" w:rsidRDefault="00332350" w:rsidP="00332350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upór i wiara w umiejętność radzenia sobie.</w:t>
      </w:r>
    </w:p>
    <w:p w:rsidR="00332350" w:rsidRPr="00332350" w:rsidRDefault="00332350" w:rsidP="00332350">
      <w:pPr>
        <w:shd w:val="clear" w:color="auto" w:fill="FFFFFF"/>
        <w:spacing w:before="180" w:after="225" w:line="312" w:lineRule="atLeast"/>
        <w:jc w:val="both"/>
        <w:outlineLvl w:val="2"/>
        <w:rPr>
          <w:rFonts w:ascii="Arial" w:eastAsia="Times New Roman" w:hAnsi="Arial" w:cs="Arial"/>
          <w:b/>
          <w:bCs/>
          <w:color w:val="5D5D5D"/>
          <w:sz w:val="33"/>
          <w:szCs w:val="33"/>
          <w:lang w:eastAsia="pl-PL"/>
        </w:rPr>
      </w:pPr>
      <w:r w:rsidRPr="00332350">
        <w:rPr>
          <w:rFonts w:ascii="Arial" w:eastAsia="Times New Roman" w:hAnsi="Arial" w:cs="Arial"/>
          <w:b/>
          <w:bCs/>
          <w:color w:val="5D5D5D"/>
          <w:sz w:val="33"/>
          <w:szCs w:val="33"/>
          <w:lang w:eastAsia="pl-PL"/>
        </w:rPr>
        <w:t>Podsumowanie</w:t>
      </w:r>
    </w:p>
    <w:p w:rsidR="00332350" w:rsidRPr="00332350" w:rsidRDefault="00332350" w:rsidP="00332350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Wyżej wymienione elementy wchodzą w skład zasobów psychologicznych określanych mianem </w:t>
      </w:r>
      <w:proofErr w:type="spellStart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rezyliencji</w:t>
      </w:r>
      <w:proofErr w:type="spellEnd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(</w:t>
      </w:r>
      <w:proofErr w:type="spellStart"/>
      <w:r w:rsidRPr="00332350">
        <w:rPr>
          <w:rFonts w:ascii="Arial" w:eastAsia="Times New Roman" w:hAnsi="Arial" w:cs="Arial"/>
          <w:i/>
          <w:iCs/>
          <w:color w:val="5D5D5D"/>
          <w:sz w:val="21"/>
          <w:szCs w:val="21"/>
          <w:lang w:eastAsia="pl-PL"/>
        </w:rPr>
        <w:t>resilience</w:t>
      </w:r>
      <w:proofErr w:type="spellEnd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 – ang. sprężystość, odporność psychiczna). Im silniejsza </w:t>
      </w:r>
      <w:proofErr w:type="spellStart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rezyliencja</w:t>
      </w:r>
      <w:proofErr w:type="spellEnd"/>
      <w:r w:rsidRPr="00332350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(więcej zasobów oraz bardziej rozbudowane zasoby) tym mniejsze ryzyko uzależnienia. Źródłem rozwoju zasobów może być wychowanie, predyspozycje osobowościowe,</w:t>
      </w:r>
    </w:p>
    <w:p w:rsidR="00E274C8" w:rsidRDefault="00E274C8"/>
    <w:sectPr w:rsidR="00E2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A59"/>
    <w:multiLevelType w:val="multilevel"/>
    <w:tmpl w:val="4D2E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70338D"/>
    <w:multiLevelType w:val="multilevel"/>
    <w:tmpl w:val="E0F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85F5B"/>
    <w:multiLevelType w:val="multilevel"/>
    <w:tmpl w:val="FDF6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A679DB"/>
    <w:multiLevelType w:val="multilevel"/>
    <w:tmpl w:val="49B0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9378F4"/>
    <w:multiLevelType w:val="multilevel"/>
    <w:tmpl w:val="F5D2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322525"/>
    <w:multiLevelType w:val="multilevel"/>
    <w:tmpl w:val="5A3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CF68B3"/>
    <w:multiLevelType w:val="multilevel"/>
    <w:tmpl w:val="DF14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183CCF"/>
    <w:multiLevelType w:val="multilevel"/>
    <w:tmpl w:val="411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50"/>
    <w:rsid w:val="00332350"/>
    <w:rsid w:val="00E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B781"/>
  <w15:chartTrackingRefBased/>
  <w15:docId w15:val="{EB554E81-54A1-4EFF-A068-162A353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2020-04-17T12:42:00Z</dcterms:created>
  <dcterms:modified xsi:type="dcterms:W3CDTF">2020-04-17T12:42:00Z</dcterms:modified>
</cp:coreProperties>
</file>